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73BF0BC" w14:textId="68D170D5" w:rsidR="00AC28F6" w:rsidRDefault="00AC28F6" w:rsidP="00AC28F6">
      <w:pPr>
        <w:spacing w:after="200" w:line="276" w:lineRule="auto"/>
        <w:ind w:firstLine="0"/>
      </w:pPr>
      <w:r>
        <w:t>The newsletter items below describe some changes to regulations and quality standards for compost, digestate and wastes that are to be spread on land. In England, Resource Frameworks have replaced Quality Protocols and in Scotland, the Environment</w:t>
      </w:r>
      <w:r w:rsidR="0091158E">
        <w:t>al</w:t>
      </w:r>
      <w:r>
        <w:t xml:space="preserve"> Authorisations Regulations have replaced the Sludge (Use in Agriculture) Regulations and the Waste Management Licensing Regulations. </w:t>
      </w:r>
    </w:p>
    <w:p w14:paraId="1EDC92CF" w14:textId="77777777" w:rsidR="0091158E" w:rsidRPr="00AC28F6" w:rsidRDefault="0091158E" w:rsidP="00AC28F6">
      <w:pPr>
        <w:spacing w:after="200" w:line="276" w:lineRule="auto"/>
        <w:ind w:firstLine="0"/>
      </w:pPr>
    </w:p>
    <w:p w14:paraId="36412C7B" w14:textId="16AF8988" w:rsidR="00AC28F6" w:rsidRDefault="00AC28F6" w:rsidP="00AC28F6">
      <w:pPr>
        <w:spacing w:after="200" w:line="276" w:lineRule="auto"/>
        <w:ind w:firstLine="0"/>
        <w:rPr>
          <w:b/>
          <w:bCs w:val="0"/>
        </w:rPr>
      </w:pPr>
      <w:r w:rsidRPr="002B4E25">
        <w:rPr>
          <w:b/>
          <w:bCs w:val="0"/>
        </w:rPr>
        <w:t>Scotland: Change to waste regulations</w:t>
      </w:r>
      <w:r>
        <w:rPr>
          <w:b/>
          <w:bCs w:val="0"/>
        </w:rPr>
        <w:t xml:space="preserve"> </w:t>
      </w:r>
      <w:r w:rsidRPr="00AC28F6">
        <w:rPr>
          <w:i/>
          <w:iCs/>
        </w:rPr>
        <w:t>[appeared in September 2025 newsletter]</w:t>
      </w:r>
    </w:p>
    <w:p w14:paraId="7D544053" w14:textId="77777777" w:rsidR="00AC28F6" w:rsidRDefault="00AC28F6" w:rsidP="00AC28F6">
      <w:pPr>
        <w:shd w:val="clear" w:color="auto" w:fill="FFFFFF"/>
        <w:spacing w:after="200" w:line="276" w:lineRule="auto"/>
        <w:ind w:firstLine="0"/>
        <w:rPr>
          <w:rFonts w:eastAsia="Times New Roman"/>
          <w:bCs w:val="0"/>
          <w:szCs w:val="24"/>
          <w:lang w:val="en-GB" w:eastAsia="en-GB" w:bidi="ar-SA"/>
        </w:rPr>
      </w:pPr>
      <w:r w:rsidRPr="00603AA2">
        <w:rPr>
          <w:rFonts w:eastAsia="Times New Roman"/>
          <w:bCs w:val="0"/>
          <w:szCs w:val="24"/>
          <w:lang w:val="en-GB" w:eastAsia="en-GB" w:bidi="ar-SA"/>
        </w:rPr>
        <w:t>There are changes to the way application of waste to land for soil improvement (including the application of treated sewage sludge) is regulated in Scotland. From 1 November 2025 these activities will be regulated under the Environmental Authorisations (Scotland) Regulations 2018</w:t>
      </w:r>
      <w:r>
        <w:rPr>
          <w:rFonts w:eastAsia="Times New Roman"/>
          <w:bCs w:val="0"/>
          <w:szCs w:val="24"/>
          <w:lang w:val="en-GB" w:eastAsia="en-GB" w:bidi="ar-SA"/>
        </w:rPr>
        <w:t xml:space="preserve"> (EASR) which replace (in Scotland):</w:t>
      </w:r>
    </w:p>
    <w:p w14:paraId="2434A199" w14:textId="77777777" w:rsidR="00AC28F6" w:rsidRPr="0000637E" w:rsidRDefault="00AC28F6" w:rsidP="00AC28F6">
      <w:pPr>
        <w:pStyle w:val="ListParagraph"/>
        <w:numPr>
          <w:ilvl w:val="0"/>
          <w:numId w:val="1"/>
        </w:numPr>
        <w:spacing w:after="200" w:line="276" w:lineRule="auto"/>
        <w:rPr>
          <w:color w:val="000000" w:themeColor="text1"/>
          <w:szCs w:val="24"/>
        </w:rPr>
      </w:pPr>
      <w:r w:rsidRPr="0000637E">
        <w:rPr>
          <w:color w:val="000000" w:themeColor="text1"/>
          <w:szCs w:val="24"/>
        </w:rPr>
        <w:t>The Water Environment (Controlled Activities) (Scotland) Regulations 2011 (CAR).</w:t>
      </w:r>
    </w:p>
    <w:p w14:paraId="12281E5C" w14:textId="77777777" w:rsidR="00AC28F6" w:rsidRPr="0000637E" w:rsidRDefault="00AC28F6" w:rsidP="00AC28F6">
      <w:pPr>
        <w:pStyle w:val="ListParagraph"/>
        <w:numPr>
          <w:ilvl w:val="0"/>
          <w:numId w:val="1"/>
        </w:numPr>
        <w:spacing w:after="200" w:line="276" w:lineRule="auto"/>
        <w:rPr>
          <w:color w:val="000000" w:themeColor="text1"/>
          <w:szCs w:val="24"/>
        </w:rPr>
      </w:pPr>
      <w:r w:rsidRPr="0000637E">
        <w:rPr>
          <w:color w:val="000000" w:themeColor="text1"/>
          <w:szCs w:val="24"/>
        </w:rPr>
        <w:t>Pollution Prevention &amp; Control (Scotland) Regulations 2012 (PPC).</w:t>
      </w:r>
    </w:p>
    <w:p w14:paraId="2821769B" w14:textId="77777777" w:rsidR="00AC28F6" w:rsidRPr="0000637E" w:rsidRDefault="00AC28F6" w:rsidP="00AC28F6">
      <w:pPr>
        <w:pStyle w:val="ListParagraph"/>
        <w:numPr>
          <w:ilvl w:val="0"/>
          <w:numId w:val="1"/>
        </w:numPr>
        <w:spacing w:after="200" w:line="276" w:lineRule="auto"/>
        <w:rPr>
          <w:color w:val="000000" w:themeColor="text1"/>
          <w:szCs w:val="24"/>
        </w:rPr>
      </w:pPr>
      <w:r w:rsidRPr="0000637E">
        <w:rPr>
          <w:color w:val="000000" w:themeColor="text1"/>
          <w:szCs w:val="24"/>
        </w:rPr>
        <w:t>The Waste Management Licensing (Scotland) Regulations 2011.</w:t>
      </w:r>
    </w:p>
    <w:p w14:paraId="26CFE137" w14:textId="77777777" w:rsidR="00AC28F6" w:rsidRPr="0000637E" w:rsidRDefault="00AC28F6" w:rsidP="00AC28F6">
      <w:pPr>
        <w:pStyle w:val="ListParagraph"/>
        <w:numPr>
          <w:ilvl w:val="0"/>
          <w:numId w:val="1"/>
        </w:numPr>
        <w:shd w:val="clear" w:color="auto" w:fill="FFFFFF"/>
        <w:spacing w:after="200" w:line="276" w:lineRule="auto"/>
        <w:rPr>
          <w:rFonts w:eastAsia="Times New Roman"/>
          <w:bCs w:val="0"/>
          <w:szCs w:val="24"/>
          <w:lang w:val="en-GB" w:eastAsia="en-GB" w:bidi="ar-SA"/>
        </w:rPr>
      </w:pPr>
      <w:r w:rsidRPr="0000637E">
        <w:rPr>
          <w:color w:val="000000" w:themeColor="text1"/>
          <w:szCs w:val="24"/>
        </w:rPr>
        <w:t>Sludge (Use in Agriculture) Regulations 1989</w:t>
      </w:r>
      <w:r w:rsidRPr="0000637E">
        <w:rPr>
          <w:rFonts w:eastAsia="Times New Roman"/>
          <w:bCs w:val="0"/>
          <w:szCs w:val="24"/>
          <w:lang w:val="en-GB" w:eastAsia="en-GB" w:bidi="ar-SA"/>
        </w:rPr>
        <w:t>.</w:t>
      </w:r>
    </w:p>
    <w:p w14:paraId="0FFFCAB5" w14:textId="77777777" w:rsidR="00AC28F6" w:rsidRDefault="00AC28F6" w:rsidP="00AC28F6">
      <w:pPr>
        <w:spacing w:after="200" w:line="276" w:lineRule="auto"/>
        <w:ind w:firstLine="0"/>
        <w:rPr>
          <w:rFonts w:eastAsia="Times New Roman"/>
          <w:bCs w:val="0"/>
          <w:szCs w:val="24"/>
          <w:lang w:val="en-GB" w:eastAsia="en-GB" w:bidi="ar-SA"/>
        </w:rPr>
      </w:pPr>
      <w:r w:rsidRPr="00603AA2">
        <w:rPr>
          <w:rFonts w:eastAsia="Times New Roman"/>
          <w:bCs w:val="0"/>
          <w:szCs w:val="24"/>
          <w:lang w:val="en-GB" w:eastAsia="en-GB" w:bidi="ar-SA"/>
        </w:rPr>
        <w:t xml:space="preserve">There are details </w:t>
      </w:r>
      <w:r w:rsidRPr="00603AA2">
        <w:rPr>
          <w:rFonts w:eastAsia="Times New Roman"/>
          <w:bCs w:val="0"/>
          <w:color w:val="0000FF"/>
          <w:szCs w:val="24"/>
          <w:lang w:val="en-GB" w:eastAsia="en-GB" w:bidi="ar-SA"/>
        </w:rPr>
        <w:t xml:space="preserve">at </w:t>
      </w:r>
      <w:hyperlink r:id="rId5" w:history="1">
        <w:r w:rsidRPr="00603AA2">
          <w:rPr>
            <w:rFonts w:eastAsia="Times New Roman"/>
            <w:bCs w:val="0"/>
            <w:color w:val="0000FF"/>
            <w:szCs w:val="24"/>
            <w:u w:val="single"/>
            <w:lang w:val="en-GB" w:eastAsia="en-GB" w:bidi="ar-SA"/>
          </w:rPr>
          <w:t>www.sepa.org.uk/regulations/waste/soil-improvement-using-waste</w:t>
        </w:r>
      </w:hyperlink>
      <w:r w:rsidRPr="00603AA2">
        <w:rPr>
          <w:rFonts w:eastAsia="Times New Roman"/>
          <w:bCs w:val="0"/>
          <w:szCs w:val="24"/>
          <w:lang w:val="en-GB" w:eastAsia="en-GB" w:bidi="ar-SA"/>
        </w:rPr>
        <w:t>.</w:t>
      </w:r>
      <w:r>
        <w:rPr>
          <w:rFonts w:eastAsia="Times New Roman"/>
          <w:bCs w:val="0"/>
          <w:szCs w:val="24"/>
          <w:lang w:val="en-GB" w:eastAsia="en-GB" w:bidi="ar-SA"/>
        </w:rPr>
        <w:t xml:space="preserve"> </w:t>
      </w:r>
      <w:r w:rsidRPr="006D0BA5">
        <w:rPr>
          <w:color w:val="000000" w:themeColor="text1"/>
          <w:szCs w:val="24"/>
        </w:rPr>
        <w:t xml:space="preserve">Most, but not all, </w:t>
      </w:r>
      <w:proofErr w:type="spellStart"/>
      <w:r w:rsidRPr="006D0BA5">
        <w:rPr>
          <w:color w:val="000000" w:themeColor="text1"/>
          <w:szCs w:val="24"/>
        </w:rPr>
        <w:t>authorisations</w:t>
      </w:r>
      <w:proofErr w:type="spellEnd"/>
      <w:r w:rsidRPr="006D0BA5">
        <w:rPr>
          <w:color w:val="000000" w:themeColor="text1"/>
          <w:szCs w:val="24"/>
        </w:rPr>
        <w:t xml:space="preserve"> will automatically transition to EASR on </w:t>
      </w:r>
      <w:r w:rsidRPr="006D0BA5">
        <w:rPr>
          <w:rStyle w:val="Strong"/>
          <w:color w:val="000000" w:themeColor="text1"/>
          <w:szCs w:val="24"/>
        </w:rPr>
        <w:t>1st November 2025</w:t>
      </w:r>
      <w:r>
        <w:rPr>
          <w:rStyle w:val="Strong"/>
          <w:color w:val="000000" w:themeColor="text1"/>
          <w:szCs w:val="24"/>
        </w:rPr>
        <w:t xml:space="preserve"> (</w:t>
      </w:r>
      <w:hyperlink r:id="rId6" w:history="1">
        <w:r w:rsidRPr="00D92743">
          <w:rPr>
            <w:rStyle w:val="Hyperlink"/>
            <w:szCs w:val="24"/>
          </w:rPr>
          <w:t>https://beta.sepa.scot/regulation/authorisations-and-compliance/easr-authorisations/moving-to-the-new-regulations</w:t>
        </w:r>
      </w:hyperlink>
      <w:r>
        <w:rPr>
          <w:rStyle w:val="Strong"/>
          <w:color w:val="000000" w:themeColor="text1"/>
          <w:szCs w:val="24"/>
        </w:rPr>
        <w:t xml:space="preserve">). </w:t>
      </w:r>
    </w:p>
    <w:p w14:paraId="63103F6B" w14:textId="77777777" w:rsidR="00AC28F6" w:rsidRPr="00603AA2" w:rsidRDefault="00AC28F6" w:rsidP="00AC28F6">
      <w:pPr>
        <w:shd w:val="clear" w:color="auto" w:fill="FFFFFF"/>
        <w:spacing w:after="200" w:line="276" w:lineRule="auto"/>
        <w:ind w:firstLine="0"/>
        <w:rPr>
          <w:lang w:val="en-GB" w:eastAsia="en-GB" w:bidi="ar-SA"/>
        </w:rPr>
      </w:pPr>
      <w:hyperlink r:id="rId7" w:history="1">
        <w:r w:rsidRPr="009718A2">
          <w:rPr>
            <w:i/>
            <w:iCs/>
          </w:rPr>
          <w:t>The Environmental Authorisations (Scotland) Regulations</w:t>
        </w:r>
        <w:r w:rsidRPr="009718A2">
          <w:t xml:space="preserve"> </w:t>
        </w:r>
      </w:hyperlink>
      <w:r>
        <w:t xml:space="preserve">can be downloaded, if you need a copy, at </w:t>
      </w:r>
      <w:hyperlink r:id="rId8" w:history="1">
        <w:r w:rsidRPr="00F9057E">
          <w:rPr>
            <w:rStyle w:val="Hyperlink"/>
          </w:rPr>
          <w:t>www.legislation.gov.uk/ssi/2018/219/contents</w:t>
        </w:r>
      </w:hyperlink>
      <w:r>
        <w:t>.</w:t>
      </w:r>
    </w:p>
    <w:p w14:paraId="3467A95D" w14:textId="77777777" w:rsidR="004E6D7F" w:rsidRDefault="004E6D7F" w:rsidP="00AC28F6">
      <w:pPr>
        <w:ind w:firstLine="0"/>
      </w:pPr>
    </w:p>
    <w:p w14:paraId="1D6E1FB2" w14:textId="432C6577" w:rsidR="00AC28F6" w:rsidRDefault="00AC28F6" w:rsidP="00AC28F6">
      <w:pPr>
        <w:spacing w:after="200" w:line="276" w:lineRule="auto"/>
        <w:ind w:firstLine="0"/>
        <w:rPr>
          <w:b/>
          <w:bCs w:val="0"/>
        </w:rPr>
      </w:pPr>
      <w:r>
        <w:rPr>
          <w:b/>
          <w:bCs w:val="0"/>
        </w:rPr>
        <w:t>Scotland: Guidance on EASR</w:t>
      </w:r>
      <w:r>
        <w:rPr>
          <w:b/>
          <w:bCs w:val="0"/>
        </w:rPr>
        <w:t xml:space="preserve"> </w:t>
      </w:r>
      <w:r w:rsidRPr="00AC28F6">
        <w:rPr>
          <w:i/>
          <w:iCs/>
        </w:rPr>
        <w:t>[</w:t>
      </w:r>
      <w:r>
        <w:rPr>
          <w:i/>
          <w:iCs/>
        </w:rPr>
        <w:t xml:space="preserve">will </w:t>
      </w:r>
      <w:r w:rsidRPr="00AC28F6">
        <w:rPr>
          <w:i/>
          <w:iCs/>
        </w:rPr>
        <w:t xml:space="preserve">appear in </w:t>
      </w:r>
      <w:r>
        <w:rPr>
          <w:i/>
          <w:iCs/>
        </w:rPr>
        <w:t>January</w:t>
      </w:r>
      <w:r w:rsidRPr="00AC28F6">
        <w:rPr>
          <w:i/>
          <w:iCs/>
        </w:rPr>
        <w:t xml:space="preserve"> 202</w:t>
      </w:r>
      <w:r>
        <w:rPr>
          <w:i/>
          <w:iCs/>
        </w:rPr>
        <w:t>6</w:t>
      </w:r>
      <w:r w:rsidRPr="00AC28F6">
        <w:rPr>
          <w:i/>
          <w:iCs/>
        </w:rPr>
        <w:t xml:space="preserve"> newsletter]</w:t>
      </w:r>
    </w:p>
    <w:p w14:paraId="24C2A8D6" w14:textId="77777777" w:rsidR="00AC28F6" w:rsidRDefault="00AC28F6" w:rsidP="00AC28F6">
      <w:pPr>
        <w:spacing w:after="200" w:line="276" w:lineRule="auto"/>
        <w:ind w:firstLine="0"/>
      </w:pPr>
      <w:r>
        <w:t>SEPA has issued some additional guidance on the new Environmental Authorisations (Scotland) Regulations that, in Scotland, replaced the Sludge (Use in Agriculture) Regulations and the Waste Management Licensing Regulations from 1</w:t>
      </w:r>
      <w:r w:rsidRPr="00E910BB">
        <w:rPr>
          <w:vertAlign w:val="superscript"/>
        </w:rPr>
        <w:t>st</w:t>
      </w:r>
      <w:r>
        <w:t xml:space="preserve"> November 2025. In the Rural Roundup podcast on 17</w:t>
      </w:r>
      <w:r w:rsidRPr="001027D3">
        <w:rPr>
          <w:vertAlign w:val="superscript"/>
        </w:rPr>
        <w:t>th</w:t>
      </w:r>
      <w:r>
        <w:t xml:space="preserve"> September, SEPA gave background to development of the new regulations (</w:t>
      </w:r>
      <w:hyperlink r:id="rId9" w:history="1">
        <w:r w:rsidRPr="006E5A7D">
          <w:rPr>
            <w:rStyle w:val="Hyperlink"/>
          </w:rPr>
          <w:t>www.fas.scot/podcast/rural-roundup-new-regulations-for-applying-waste-to-land</w:t>
        </w:r>
      </w:hyperlink>
      <w:r>
        <w:t>, starts at 18 mins into the 42 min podcast). For applying waste to land at multiple locations, SEPA will regard FACTS qualification as an indication of technical competence in the Fit and Proper Person test (from 27 mins into the podcast). The test determines if the applicant is a suitable person to be in control of the regulated activity (</w:t>
      </w:r>
      <w:hyperlink r:id="rId10" w:history="1">
        <w:r w:rsidRPr="006E5A7D">
          <w:rPr>
            <w:rStyle w:val="Hyperlink"/>
          </w:rPr>
          <w:t>https://beta.sepa.scot/regulation/authorisations-and-compliance/easr-authorisations/about-easr-authorisations/who-can-hold-an-authorisation</w:t>
        </w:r>
      </w:hyperlink>
      <w:r>
        <w:t>).</w:t>
      </w:r>
    </w:p>
    <w:p w14:paraId="33CA64FD" w14:textId="77777777" w:rsidR="00AC28F6" w:rsidRDefault="00AC28F6" w:rsidP="00AC28F6">
      <w:pPr>
        <w:ind w:firstLine="0"/>
      </w:pPr>
    </w:p>
    <w:p w14:paraId="3439CB51" w14:textId="77777777" w:rsidR="00AC28F6" w:rsidRPr="0079514B" w:rsidRDefault="00AC28F6" w:rsidP="00AC28F6">
      <w:pPr>
        <w:spacing w:after="200" w:line="276" w:lineRule="auto"/>
        <w:ind w:firstLine="0"/>
      </w:pPr>
      <w:r>
        <w:rPr>
          <w:b/>
          <w:noProof/>
        </w:rPr>
        <mc:AlternateContent>
          <mc:Choice Requires="wps">
            <w:drawing>
              <wp:anchor distT="4294967295" distB="4294967295" distL="114300" distR="114300" simplePos="0" relativeHeight="251659264" behindDoc="0" locked="0" layoutInCell="1" allowOverlap="1" wp14:anchorId="2B7631B8" wp14:editId="705E3A21">
                <wp:simplePos x="0" y="0"/>
                <wp:positionH relativeFrom="margin">
                  <wp:posOffset>0</wp:posOffset>
                </wp:positionH>
                <wp:positionV relativeFrom="paragraph">
                  <wp:posOffset>0</wp:posOffset>
                </wp:positionV>
                <wp:extent cx="6334125" cy="0"/>
                <wp:effectExtent l="0" t="0" r="0" b="0"/>
                <wp:wrapNone/>
                <wp:docPr id="569030863" name="AutoShape 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33412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1B803ED0" id="_x0000_t32" coordsize="21600,21600" o:spt="32" o:oned="t" path="m,l21600,21600e" filled="f">
                <v:path arrowok="t" fillok="f" o:connecttype="none"/>
                <o:lock v:ext="edit" shapetype="t"/>
              </v:shapetype>
              <v:shape id="AutoShape 9" o:spid="_x0000_s1026" type="#_x0000_t32" style="position:absolute;margin-left:0;margin-top:0;width:498.75pt;height:0;z-index:251659264;visibility:visible;mso-wrap-style:square;mso-width-percent:0;mso-height-percent:0;mso-wrap-distance-left:9pt;mso-wrap-distance-top:-3e-5mm;mso-wrap-distance-right:9pt;mso-wrap-distance-bottom:-3e-5mm;mso-position-horizontal:absolute;mso-position-horizontal-relative:margin;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">
                <w10:wrap anchorx="margin"/>
              </v:shape>
            </w:pict>
          </mc:Fallback>
        </mc:AlternateContent>
      </w:r>
    </w:p>
    <w:p w14:paraId="2839A14B" w14:textId="1BE0B5EA" w:rsidR="00AC28F6" w:rsidRPr="004132FD" w:rsidRDefault="00AC28F6" w:rsidP="00AC28F6">
      <w:pPr>
        <w:autoSpaceDE w:val="0"/>
        <w:autoSpaceDN w:val="0"/>
        <w:adjustRightInd w:val="0"/>
        <w:spacing w:after="200" w:line="276" w:lineRule="auto"/>
        <w:ind w:firstLine="0"/>
        <w:rPr>
          <w:rFonts w:eastAsia="Calibri"/>
          <w:b/>
          <w:bCs w:val="0"/>
          <w:szCs w:val="24"/>
          <w:lang w:val="en-GB" w:bidi="ar-SA"/>
          <w14:ligatures w14:val="standardContextual"/>
        </w:rPr>
      </w:pPr>
      <w:bookmarkStart w:id="0" w:name="_Hlk211930511"/>
      <w:r w:rsidRPr="004132FD">
        <w:rPr>
          <w:rFonts w:eastAsia="Calibri"/>
          <w:b/>
          <w:bCs w:val="0"/>
          <w:szCs w:val="24"/>
          <w:lang w:val="en-GB" w:bidi="ar-SA"/>
          <w14:ligatures w14:val="standardContextual"/>
        </w:rPr>
        <w:lastRenderedPageBreak/>
        <w:t xml:space="preserve">England: Resource </w:t>
      </w:r>
      <w:r>
        <w:rPr>
          <w:rFonts w:eastAsia="Calibri"/>
          <w:b/>
          <w:bCs w:val="0"/>
          <w:szCs w:val="24"/>
          <w:lang w:val="en-GB" w:bidi="ar-SA"/>
          <w14:ligatures w14:val="standardContextual"/>
        </w:rPr>
        <w:t>F</w:t>
      </w:r>
      <w:r w:rsidRPr="004132FD">
        <w:rPr>
          <w:rFonts w:eastAsia="Calibri"/>
          <w:b/>
          <w:bCs w:val="0"/>
          <w:szCs w:val="24"/>
          <w:lang w:val="en-GB" w:bidi="ar-SA"/>
          <w14:ligatures w14:val="standardContextual"/>
        </w:rPr>
        <w:t>rameworks for compost and digestate</w:t>
      </w:r>
      <w:r>
        <w:rPr>
          <w:rFonts w:eastAsia="Calibri"/>
          <w:b/>
          <w:bCs w:val="0"/>
          <w:szCs w:val="24"/>
          <w:lang w:val="en-GB" w:bidi="ar-SA"/>
          <w14:ligatures w14:val="standardContextual"/>
        </w:rPr>
        <w:t xml:space="preserve"> </w:t>
      </w:r>
      <w:r w:rsidRPr="00AC28F6">
        <w:rPr>
          <w:i/>
          <w:iCs/>
        </w:rPr>
        <w:t>[</w:t>
      </w:r>
      <w:r>
        <w:rPr>
          <w:i/>
          <w:iCs/>
        </w:rPr>
        <w:t xml:space="preserve">will </w:t>
      </w:r>
      <w:r w:rsidRPr="00AC28F6">
        <w:rPr>
          <w:i/>
          <w:iCs/>
        </w:rPr>
        <w:t xml:space="preserve">appear in </w:t>
      </w:r>
      <w:r>
        <w:rPr>
          <w:i/>
          <w:iCs/>
        </w:rPr>
        <w:t>January</w:t>
      </w:r>
      <w:r w:rsidRPr="00AC28F6">
        <w:rPr>
          <w:i/>
          <w:iCs/>
        </w:rPr>
        <w:t xml:space="preserve"> 202</w:t>
      </w:r>
      <w:r>
        <w:rPr>
          <w:i/>
          <w:iCs/>
        </w:rPr>
        <w:t>6</w:t>
      </w:r>
      <w:r w:rsidRPr="00AC28F6">
        <w:rPr>
          <w:i/>
          <w:iCs/>
        </w:rPr>
        <w:t xml:space="preserve"> newsletter]</w:t>
      </w:r>
    </w:p>
    <w:bookmarkEnd w:id="0"/>
    <w:p w14:paraId="45ED7CEF" w14:textId="77777777" w:rsidR="00AC28F6" w:rsidRDefault="00AC28F6" w:rsidP="00AC28F6">
      <w:pPr>
        <w:autoSpaceDE w:val="0"/>
        <w:autoSpaceDN w:val="0"/>
        <w:adjustRightInd w:val="0"/>
        <w:spacing w:after="200" w:line="276" w:lineRule="auto"/>
        <w:ind w:firstLine="0"/>
        <w:rPr>
          <w:rFonts w:eastAsia="Calibri"/>
          <w:szCs w:val="24"/>
          <w:lang w:val="en-GB" w:bidi="ar-SA"/>
          <w14:ligatures w14:val="standardContextual"/>
        </w:rPr>
      </w:pPr>
      <w:r>
        <w:rPr>
          <w:rFonts w:eastAsia="Calibri"/>
          <w:szCs w:val="24"/>
          <w:lang w:val="en-GB" w:bidi="ar-SA"/>
          <w14:ligatures w14:val="standardContextual"/>
        </w:rPr>
        <w:t>The Environment Agency has published Resource Frameworks to replace Quality Protocols for compost and anaerobic digestate. These apply to England and specify the conditions for production, storage and use if the materials are to be considered as products and not as wastes. Compliance with PAS100 for compost or with PAS110 for digestate remains necessary though with lower limits on plastics in the product. The Resource Frameworks specify the feedstock materials that can be used in production.</w:t>
      </w:r>
    </w:p>
    <w:p w14:paraId="42DEA9A0" w14:textId="77777777" w:rsidR="00AC28F6" w:rsidRDefault="00AC28F6" w:rsidP="00AC28F6">
      <w:pPr>
        <w:autoSpaceDE w:val="0"/>
        <w:autoSpaceDN w:val="0"/>
        <w:adjustRightInd w:val="0"/>
        <w:spacing w:after="200" w:line="276" w:lineRule="auto"/>
        <w:ind w:firstLine="0"/>
        <w:rPr>
          <w:rFonts w:eastAsia="Calibri"/>
          <w:szCs w:val="24"/>
          <w:lang w:val="en-GB" w:bidi="ar-SA"/>
          <w14:ligatures w14:val="standardContextual"/>
        </w:rPr>
      </w:pPr>
      <w:r>
        <w:rPr>
          <w:rFonts w:eastAsia="Calibri"/>
          <w:szCs w:val="24"/>
          <w:lang w:val="en-GB" w:bidi="ar-SA"/>
          <w14:ligatures w14:val="standardContextual"/>
        </w:rPr>
        <w:t xml:space="preserve">While the Resource Frameworks are most relevant to producers of compost and digestate, they include some requirements for users. The same wording is used in both frameworks: </w:t>
      </w:r>
    </w:p>
    <w:p w14:paraId="731E3FEE" w14:textId="77777777" w:rsidR="00AC28F6" w:rsidRPr="00183BD4" w:rsidRDefault="00AC28F6" w:rsidP="00AC28F6">
      <w:pPr>
        <w:autoSpaceDE w:val="0"/>
        <w:autoSpaceDN w:val="0"/>
        <w:adjustRightInd w:val="0"/>
        <w:spacing w:after="200" w:line="276" w:lineRule="auto"/>
        <w:ind w:firstLine="0"/>
        <w:rPr>
          <w:rFonts w:eastAsia="Calibri"/>
          <w:szCs w:val="24"/>
          <w:lang w:val="en-GB" w:bidi="ar-SA"/>
          <w14:ligatures w14:val="standardContextual"/>
        </w:rPr>
      </w:pPr>
      <w:r>
        <w:rPr>
          <w:rFonts w:eastAsia="Calibri"/>
          <w:szCs w:val="24"/>
          <w:lang w:val="en-GB" w:bidi="ar-SA"/>
          <w14:ligatures w14:val="standardContextual"/>
        </w:rPr>
        <w:t>‘</w:t>
      </w:r>
      <w:r w:rsidRPr="00183BD4">
        <w:rPr>
          <w:rFonts w:eastAsia="Calibri"/>
          <w:szCs w:val="24"/>
          <w:lang w:val="en-GB" w:bidi="ar-SA"/>
          <w14:ligatures w14:val="standardContextual"/>
        </w:rPr>
        <w:t>When you are supplying compost</w:t>
      </w:r>
      <w:r>
        <w:rPr>
          <w:rFonts w:eastAsia="Calibri"/>
          <w:szCs w:val="24"/>
          <w:lang w:val="en-GB" w:bidi="ar-SA"/>
          <w14:ligatures w14:val="standardContextual"/>
        </w:rPr>
        <w:t>/digestate</w:t>
      </w:r>
      <w:r w:rsidRPr="00183BD4">
        <w:rPr>
          <w:rFonts w:eastAsia="Calibri"/>
          <w:szCs w:val="24"/>
          <w:lang w:val="en-GB" w:bidi="ar-SA"/>
          <w14:ligatures w14:val="standardContextual"/>
        </w:rPr>
        <w:t xml:space="preserve"> to agriculture, your compost</w:t>
      </w:r>
      <w:r>
        <w:rPr>
          <w:rFonts w:eastAsia="Calibri"/>
          <w:szCs w:val="24"/>
          <w:lang w:val="en-GB" w:bidi="ar-SA"/>
          <w14:ligatures w14:val="standardContextual"/>
        </w:rPr>
        <w:t>/digestate</w:t>
      </w:r>
      <w:r w:rsidRPr="00183BD4">
        <w:rPr>
          <w:rFonts w:eastAsia="Calibri"/>
          <w:szCs w:val="24"/>
          <w:lang w:val="en-GB" w:bidi="ar-SA"/>
          <w14:ligatures w14:val="standardContextual"/>
        </w:rPr>
        <w:t xml:space="preserve"> supply documents must tell the customer that: </w:t>
      </w:r>
    </w:p>
    <w:p w14:paraId="6A87815F" w14:textId="77777777" w:rsidR="00AC28F6" w:rsidRPr="00656886" w:rsidRDefault="00AC28F6" w:rsidP="00AC28F6">
      <w:pPr>
        <w:pStyle w:val="ListParagraph"/>
        <w:numPr>
          <w:ilvl w:val="0"/>
          <w:numId w:val="2"/>
        </w:numPr>
        <w:spacing w:after="200" w:line="276" w:lineRule="auto"/>
        <w:rPr>
          <w:lang w:val="en-GB" w:bidi="ar-SA"/>
        </w:rPr>
      </w:pPr>
      <w:r w:rsidRPr="00656886">
        <w:rPr>
          <w:lang w:val="en-GB" w:bidi="ar-SA"/>
        </w:rPr>
        <w:t>they must have a nutrient management plan (NMP) before use</w:t>
      </w:r>
    </w:p>
    <w:p w14:paraId="6B7B19B6" w14:textId="77777777" w:rsidR="00AC28F6" w:rsidRPr="00656886" w:rsidRDefault="00AC28F6" w:rsidP="00AC28F6">
      <w:pPr>
        <w:pStyle w:val="ListParagraph"/>
        <w:numPr>
          <w:ilvl w:val="0"/>
          <w:numId w:val="2"/>
        </w:numPr>
        <w:spacing w:after="200" w:line="276" w:lineRule="auto"/>
        <w:rPr>
          <w:lang w:val="en-GB" w:bidi="ar-SA"/>
        </w:rPr>
      </w:pPr>
      <w:r w:rsidRPr="00656886">
        <w:rPr>
          <w:lang w:val="en-GB" w:bidi="ar-SA"/>
        </w:rPr>
        <w:t>they must apply compost/digestate in line with the NMP, along with any other organic manures and manufactured fertilisers, at rates that do not exceed soil and crop need</w:t>
      </w:r>
    </w:p>
    <w:p w14:paraId="6C965326" w14:textId="77777777" w:rsidR="00AC28F6" w:rsidRPr="00656886" w:rsidRDefault="00AC28F6" w:rsidP="00AC28F6">
      <w:pPr>
        <w:pStyle w:val="ListParagraph"/>
        <w:numPr>
          <w:ilvl w:val="0"/>
          <w:numId w:val="2"/>
        </w:numPr>
        <w:spacing w:after="200" w:line="276" w:lineRule="auto"/>
        <w:rPr>
          <w:lang w:val="en-GB" w:bidi="ar-SA"/>
        </w:rPr>
      </w:pPr>
      <w:r w:rsidRPr="00656886">
        <w:rPr>
          <w:lang w:val="en-GB" w:bidi="ar-SA"/>
        </w:rPr>
        <w:t>they are responsible for following their NMP – if they do not do this, the Environment Agency may take enforcement action</w:t>
      </w:r>
    </w:p>
    <w:p w14:paraId="5E00D8B5" w14:textId="77777777" w:rsidR="00AC28F6" w:rsidRPr="00656886" w:rsidRDefault="00AC28F6" w:rsidP="00AC28F6">
      <w:pPr>
        <w:pStyle w:val="ListParagraph"/>
        <w:numPr>
          <w:ilvl w:val="0"/>
          <w:numId w:val="2"/>
        </w:numPr>
        <w:spacing w:after="200" w:line="276" w:lineRule="auto"/>
        <w:rPr>
          <w:color w:val="1C6FB8"/>
          <w:lang w:val="en-GB" w:bidi="ar-SA"/>
        </w:rPr>
      </w:pPr>
      <w:r w:rsidRPr="00656886">
        <w:rPr>
          <w:lang w:val="en-GB" w:bidi="ar-SA"/>
        </w:rPr>
        <w:t>where there is no soil and crop need for compost/digestate, it is considered waste and they must follow waste management controls’</w:t>
      </w:r>
    </w:p>
    <w:p w14:paraId="618673FD" w14:textId="77777777" w:rsidR="00AC28F6" w:rsidRDefault="00AC28F6" w:rsidP="00AC28F6">
      <w:pPr>
        <w:spacing w:after="200" w:line="276" w:lineRule="auto"/>
        <w:ind w:firstLine="0"/>
      </w:pPr>
      <w:r>
        <w:t xml:space="preserve">The Resource Framework for compost can be downloaded at </w:t>
      </w:r>
      <w:hyperlink r:id="rId11" w:history="1">
        <w:r w:rsidRPr="000605C5">
          <w:rPr>
            <w:rStyle w:val="Hyperlink"/>
          </w:rPr>
          <w:t>www.gov.uk/guidance/compost-from-waste-resource-framework</w:t>
        </w:r>
      </w:hyperlink>
      <w:r w:rsidRPr="0079514B">
        <w:t xml:space="preserve"> </w:t>
      </w:r>
      <w:r>
        <w:t xml:space="preserve">and that for digestate at </w:t>
      </w:r>
      <w:hyperlink r:id="rId12" w:history="1">
        <w:r w:rsidRPr="0055334E">
          <w:rPr>
            <w:rStyle w:val="Hyperlink"/>
          </w:rPr>
          <w:t>www.gov.uk/guidance/anaerobic-digestate-resource-framework</w:t>
        </w:r>
      </w:hyperlink>
      <w:r>
        <w:t>.</w:t>
      </w:r>
    </w:p>
    <w:p w14:paraId="7E1CA1C0" w14:textId="77777777" w:rsidR="00AC28F6" w:rsidRPr="0079514B" w:rsidRDefault="00AC28F6" w:rsidP="00AC28F6">
      <w:pPr>
        <w:spacing w:after="200" w:line="276" w:lineRule="auto"/>
        <w:ind w:firstLine="0"/>
      </w:pPr>
      <w:r>
        <w:t>The Quality Protocol for poultry litter ash was withdrawn and has not been replaced by a Resource Framework (</w:t>
      </w:r>
      <w:hyperlink r:id="rId13" w:history="1">
        <w:r w:rsidRPr="001852EE">
          <w:rPr>
            <w:rStyle w:val="Hyperlink"/>
          </w:rPr>
          <w:t>www.gov.uk/government/publications/waste-quality-protocols-review/waste-quality-protocols-review</w:t>
        </w:r>
      </w:hyperlink>
      <w:r>
        <w:t>).</w:t>
      </w:r>
    </w:p>
    <w:p w14:paraId="08AF0EF7" w14:textId="77777777" w:rsidR="00AC28F6" w:rsidRDefault="00AC28F6" w:rsidP="00AC28F6">
      <w:pPr>
        <w:ind w:firstLine="0"/>
      </w:pPr>
    </w:p>
    <w:sectPr w:rsidR="00AC28F6">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0F03029"/>
    <w:multiLevelType w:val="hybridMultilevel"/>
    <w:tmpl w:val="B726C0C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46587303"/>
    <w:multiLevelType w:val="hybridMultilevel"/>
    <w:tmpl w:val="A9A0EE52"/>
    <w:lvl w:ilvl="0" w:tplc="4866E12A">
      <w:start w:val="1"/>
      <w:numFmt w:val="bullet"/>
      <w:lvlText w:val=""/>
      <w:lvlJc w:val="left"/>
      <w:pPr>
        <w:ind w:left="720" w:hanging="360"/>
      </w:pPr>
      <w:rPr>
        <w:rFonts w:ascii="Symbol" w:hAnsi="Symbol" w:hint="default"/>
        <w:color w:val="000000" w:themeColor="text1"/>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677849741">
    <w:abstractNumId w:val="0"/>
  </w:num>
  <w:num w:numId="2" w16cid:durableId="185318382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C28F6"/>
    <w:rsid w:val="0004629E"/>
    <w:rsid w:val="00111DEA"/>
    <w:rsid w:val="004033A1"/>
    <w:rsid w:val="004E6D7F"/>
    <w:rsid w:val="0091158E"/>
    <w:rsid w:val="00AC28F6"/>
    <w:rsid w:val="00FE04C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4C6BEA5"/>
  <w15:chartTrackingRefBased/>
  <w15:docId w15:val="{24DBD09A-417F-43BC-8A4B-EFE3D8CEBB3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heme="minorHAnsi" w:hAnsi="Times New Roman" w:cs="Times New Roman"/>
        <w:bCs/>
        <w:color w:val="000000"/>
        <w:kern w:val="2"/>
        <w:sz w:val="24"/>
        <w:szCs w:val="32"/>
        <w:lang w:val="en-GB" w:eastAsia="en-US" w:bidi="ar-SA"/>
        <w14:ligatures w14:val="standardContextual"/>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C28F6"/>
    <w:pPr>
      <w:spacing w:after="0" w:line="240" w:lineRule="auto"/>
      <w:ind w:firstLine="360"/>
    </w:pPr>
    <w:rPr>
      <w:kern w:val="0"/>
      <w:lang w:val="en-US" w:bidi="en-US"/>
      <w14:ligatures w14:val="none"/>
    </w:rPr>
  </w:style>
  <w:style w:type="paragraph" w:styleId="Heading1">
    <w:name w:val="heading 1"/>
    <w:basedOn w:val="Normal"/>
    <w:next w:val="Normal"/>
    <w:link w:val="Heading1Char"/>
    <w:uiPriority w:val="9"/>
    <w:qFormat/>
    <w:rsid w:val="00AC28F6"/>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AC28F6"/>
    <w:pPr>
      <w:keepNext/>
      <w:keepLines/>
      <w:spacing w:before="160" w:after="80"/>
      <w:outlineLvl w:val="1"/>
    </w:pPr>
    <w:rPr>
      <w:rFonts w:asciiTheme="majorHAnsi" w:eastAsiaTheme="majorEastAsia" w:hAnsiTheme="majorHAnsi" w:cstheme="majorBidi"/>
      <w:color w:val="2F5496" w:themeColor="accent1" w:themeShade="BF"/>
      <w:sz w:val="32"/>
    </w:rPr>
  </w:style>
  <w:style w:type="paragraph" w:styleId="Heading3">
    <w:name w:val="heading 3"/>
    <w:basedOn w:val="Normal"/>
    <w:next w:val="Normal"/>
    <w:link w:val="Heading3Char"/>
    <w:uiPriority w:val="9"/>
    <w:semiHidden/>
    <w:unhideWhenUsed/>
    <w:qFormat/>
    <w:rsid w:val="00AC28F6"/>
    <w:pPr>
      <w:keepNext/>
      <w:keepLines/>
      <w:spacing w:before="160" w:after="80"/>
      <w:outlineLvl w:val="2"/>
    </w:pPr>
    <w:rPr>
      <w:rFonts w:asciiTheme="minorHAnsi" w:eastAsiaTheme="majorEastAsia" w:hAnsiTheme="minorHAnsi"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AC28F6"/>
    <w:pPr>
      <w:keepNext/>
      <w:keepLines/>
      <w:spacing w:before="80" w:after="40"/>
      <w:outlineLvl w:val="3"/>
    </w:pPr>
    <w:rPr>
      <w:rFonts w:asciiTheme="minorHAnsi" w:eastAsiaTheme="majorEastAsia" w:hAnsiTheme="minorHAnsi" w:cstheme="majorBidi"/>
      <w:i/>
      <w:iCs/>
      <w:color w:val="2F5496" w:themeColor="accent1" w:themeShade="BF"/>
    </w:rPr>
  </w:style>
  <w:style w:type="paragraph" w:styleId="Heading5">
    <w:name w:val="heading 5"/>
    <w:basedOn w:val="Normal"/>
    <w:next w:val="Normal"/>
    <w:link w:val="Heading5Char"/>
    <w:uiPriority w:val="9"/>
    <w:semiHidden/>
    <w:unhideWhenUsed/>
    <w:qFormat/>
    <w:rsid w:val="00AC28F6"/>
    <w:pPr>
      <w:keepNext/>
      <w:keepLines/>
      <w:spacing w:before="80" w:after="40"/>
      <w:outlineLvl w:val="4"/>
    </w:pPr>
    <w:rPr>
      <w:rFonts w:asciiTheme="minorHAnsi" w:eastAsiaTheme="majorEastAsia" w:hAnsiTheme="minorHAnsi" w:cstheme="majorBidi"/>
      <w:color w:val="2F5496" w:themeColor="accent1" w:themeShade="BF"/>
    </w:rPr>
  </w:style>
  <w:style w:type="paragraph" w:styleId="Heading6">
    <w:name w:val="heading 6"/>
    <w:basedOn w:val="Normal"/>
    <w:next w:val="Normal"/>
    <w:link w:val="Heading6Char"/>
    <w:uiPriority w:val="9"/>
    <w:semiHidden/>
    <w:unhideWhenUsed/>
    <w:qFormat/>
    <w:rsid w:val="00AC28F6"/>
    <w:pPr>
      <w:keepNext/>
      <w:keepLines/>
      <w:spacing w:before="40"/>
      <w:outlineLvl w:val="5"/>
    </w:pPr>
    <w:rPr>
      <w:rFonts w:asciiTheme="minorHAnsi" w:eastAsiaTheme="majorEastAsia" w:hAnsiTheme="minorHAnsi" w:cstheme="majorBidi"/>
      <w:i/>
      <w:iCs/>
      <w:color w:val="595959" w:themeColor="text1" w:themeTint="A6"/>
    </w:rPr>
  </w:style>
  <w:style w:type="paragraph" w:styleId="Heading7">
    <w:name w:val="heading 7"/>
    <w:basedOn w:val="Normal"/>
    <w:next w:val="Normal"/>
    <w:link w:val="Heading7Char"/>
    <w:uiPriority w:val="9"/>
    <w:semiHidden/>
    <w:unhideWhenUsed/>
    <w:qFormat/>
    <w:rsid w:val="00AC28F6"/>
    <w:pPr>
      <w:keepNext/>
      <w:keepLines/>
      <w:spacing w:before="40"/>
      <w:outlineLvl w:val="6"/>
    </w:pPr>
    <w:rPr>
      <w:rFonts w:asciiTheme="minorHAnsi" w:eastAsiaTheme="majorEastAsia" w:hAnsiTheme="minorHAnsi" w:cstheme="majorBidi"/>
      <w:color w:val="595959" w:themeColor="text1" w:themeTint="A6"/>
    </w:rPr>
  </w:style>
  <w:style w:type="paragraph" w:styleId="Heading8">
    <w:name w:val="heading 8"/>
    <w:basedOn w:val="Normal"/>
    <w:next w:val="Normal"/>
    <w:link w:val="Heading8Char"/>
    <w:uiPriority w:val="9"/>
    <w:semiHidden/>
    <w:unhideWhenUsed/>
    <w:qFormat/>
    <w:rsid w:val="00AC28F6"/>
    <w:pPr>
      <w:keepNext/>
      <w:keepLines/>
      <w:outlineLvl w:val="7"/>
    </w:pPr>
    <w:rPr>
      <w:rFonts w:asciiTheme="minorHAnsi" w:eastAsiaTheme="majorEastAsia" w:hAnsiTheme="minorHAnsi" w:cstheme="majorBidi"/>
      <w:i/>
      <w:iCs/>
      <w:color w:val="272727" w:themeColor="text1" w:themeTint="D8"/>
    </w:rPr>
  </w:style>
  <w:style w:type="paragraph" w:styleId="Heading9">
    <w:name w:val="heading 9"/>
    <w:basedOn w:val="Normal"/>
    <w:next w:val="Normal"/>
    <w:link w:val="Heading9Char"/>
    <w:uiPriority w:val="9"/>
    <w:semiHidden/>
    <w:unhideWhenUsed/>
    <w:qFormat/>
    <w:rsid w:val="00AC28F6"/>
    <w:pPr>
      <w:keepNext/>
      <w:keepLines/>
      <w:outlineLvl w:val="8"/>
    </w:pPr>
    <w:rPr>
      <w:rFonts w:asciiTheme="minorHAnsi" w:eastAsiaTheme="majorEastAsia" w:hAnsiTheme="minorHAnsi"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AC28F6"/>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AC28F6"/>
    <w:rPr>
      <w:rFonts w:asciiTheme="majorHAnsi" w:eastAsiaTheme="majorEastAsia" w:hAnsiTheme="majorHAnsi" w:cstheme="majorBidi"/>
      <w:color w:val="2F5496" w:themeColor="accent1" w:themeShade="BF"/>
      <w:sz w:val="32"/>
    </w:rPr>
  </w:style>
  <w:style w:type="character" w:customStyle="1" w:styleId="Heading3Char">
    <w:name w:val="Heading 3 Char"/>
    <w:basedOn w:val="DefaultParagraphFont"/>
    <w:link w:val="Heading3"/>
    <w:uiPriority w:val="9"/>
    <w:semiHidden/>
    <w:rsid w:val="00AC28F6"/>
    <w:rPr>
      <w:rFonts w:asciiTheme="minorHAnsi" w:eastAsiaTheme="majorEastAsia" w:hAnsiTheme="minorHAnsi"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AC28F6"/>
    <w:rPr>
      <w:rFonts w:asciiTheme="minorHAnsi" w:eastAsiaTheme="majorEastAsia" w:hAnsiTheme="minorHAnsi" w:cstheme="majorBidi"/>
      <w:i/>
      <w:iCs/>
      <w:color w:val="2F5496" w:themeColor="accent1" w:themeShade="BF"/>
    </w:rPr>
  </w:style>
  <w:style w:type="character" w:customStyle="1" w:styleId="Heading5Char">
    <w:name w:val="Heading 5 Char"/>
    <w:basedOn w:val="DefaultParagraphFont"/>
    <w:link w:val="Heading5"/>
    <w:uiPriority w:val="9"/>
    <w:semiHidden/>
    <w:rsid w:val="00AC28F6"/>
    <w:rPr>
      <w:rFonts w:asciiTheme="minorHAnsi" w:eastAsiaTheme="majorEastAsia" w:hAnsiTheme="minorHAnsi" w:cstheme="majorBidi"/>
      <w:color w:val="2F5496" w:themeColor="accent1" w:themeShade="BF"/>
    </w:rPr>
  </w:style>
  <w:style w:type="character" w:customStyle="1" w:styleId="Heading6Char">
    <w:name w:val="Heading 6 Char"/>
    <w:basedOn w:val="DefaultParagraphFont"/>
    <w:link w:val="Heading6"/>
    <w:uiPriority w:val="9"/>
    <w:semiHidden/>
    <w:rsid w:val="00AC28F6"/>
    <w:rPr>
      <w:rFonts w:asciiTheme="minorHAnsi" w:eastAsiaTheme="majorEastAsia" w:hAnsiTheme="minorHAnsi" w:cstheme="majorBidi"/>
      <w:i/>
      <w:iCs/>
      <w:color w:val="595959" w:themeColor="text1" w:themeTint="A6"/>
    </w:rPr>
  </w:style>
  <w:style w:type="character" w:customStyle="1" w:styleId="Heading7Char">
    <w:name w:val="Heading 7 Char"/>
    <w:basedOn w:val="DefaultParagraphFont"/>
    <w:link w:val="Heading7"/>
    <w:uiPriority w:val="9"/>
    <w:semiHidden/>
    <w:rsid w:val="00AC28F6"/>
    <w:rPr>
      <w:rFonts w:asciiTheme="minorHAnsi" w:eastAsiaTheme="majorEastAsia" w:hAnsiTheme="minorHAnsi" w:cstheme="majorBidi"/>
      <w:color w:val="595959" w:themeColor="text1" w:themeTint="A6"/>
    </w:rPr>
  </w:style>
  <w:style w:type="character" w:customStyle="1" w:styleId="Heading8Char">
    <w:name w:val="Heading 8 Char"/>
    <w:basedOn w:val="DefaultParagraphFont"/>
    <w:link w:val="Heading8"/>
    <w:uiPriority w:val="9"/>
    <w:semiHidden/>
    <w:rsid w:val="00AC28F6"/>
    <w:rPr>
      <w:rFonts w:asciiTheme="minorHAnsi" w:eastAsiaTheme="majorEastAsia" w:hAnsiTheme="minorHAnsi" w:cstheme="majorBidi"/>
      <w:i/>
      <w:iCs/>
      <w:color w:val="272727" w:themeColor="text1" w:themeTint="D8"/>
    </w:rPr>
  </w:style>
  <w:style w:type="character" w:customStyle="1" w:styleId="Heading9Char">
    <w:name w:val="Heading 9 Char"/>
    <w:basedOn w:val="DefaultParagraphFont"/>
    <w:link w:val="Heading9"/>
    <w:uiPriority w:val="9"/>
    <w:semiHidden/>
    <w:rsid w:val="00AC28F6"/>
    <w:rPr>
      <w:rFonts w:asciiTheme="minorHAnsi" w:eastAsiaTheme="majorEastAsia" w:hAnsiTheme="minorHAnsi" w:cstheme="majorBidi"/>
      <w:color w:val="272727" w:themeColor="text1" w:themeTint="D8"/>
    </w:rPr>
  </w:style>
  <w:style w:type="paragraph" w:styleId="Title">
    <w:name w:val="Title"/>
    <w:basedOn w:val="Normal"/>
    <w:next w:val="Normal"/>
    <w:link w:val="TitleChar"/>
    <w:uiPriority w:val="10"/>
    <w:qFormat/>
    <w:rsid w:val="00AC28F6"/>
    <w:pPr>
      <w:spacing w:after="80"/>
      <w:contextualSpacing/>
    </w:pPr>
    <w:rPr>
      <w:rFonts w:asciiTheme="majorHAnsi" w:eastAsiaTheme="majorEastAsia" w:hAnsiTheme="majorHAnsi" w:cstheme="majorBidi"/>
      <w:color w:val="auto"/>
      <w:spacing w:val="-10"/>
      <w:kern w:val="28"/>
      <w:sz w:val="56"/>
      <w:szCs w:val="56"/>
    </w:rPr>
  </w:style>
  <w:style w:type="character" w:customStyle="1" w:styleId="TitleChar">
    <w:name w:val="Title Char"/>
    <w:basedOn w:val="DefaultParagraphFont"/>
    <w:link w:val="Title"/>
    <w:uiPriority w:val="10"/>
    <w:rsid w:val="00AC28F6"/>
    <w:rPr>
      <w:rFonts w:asciiTheme="majorHAnsi" w:eastAsiaTheme="majorEastAsia" w:hAnsiTheme="majorHAnsi" w:cstheme="majorBidi"/>
      <w:color w:val="auto"/>
      <w:spacing w:val="-10"/>
      <w:kern w:val="28"/>
      <w:sz w:val="56"/>
      <w:szCs w:val="56"/>
    </w:rPr>
  </w:style>
  <w:style w:type="paragraph" w:styleId="Subtitle">
    <w:name w:val="Subtitle"/>
    <w:basedOn w:val="Normal"/>
    <w:next w:val="Normal"/>
    <w:link w:val="SubtitleChar"/>
    <w:uiPriority w:val="11"/>
    <w:qFormat/>
    <w:rsid w:val="00AC28F6"/>
    <w:pPr>
      <w:numPr>
        <w:ilvl w:val="1"/>
      </w:numPr>
      <w:spacing w:after="160"/>
    </w:pPr>
    <w:rPr>
      <w:rFonts w:asciiTheme="minorHAnsi" w:eastAsiaTheme="majorEastAsia" w:hAnsiTheme="minorHAnsi"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AC28F6"/>
    <w:rPr>
      <w:rFonts w:asciiTheme="minorHAnsi" w:eastAsiaTheme="majorEastAsia" w:hAnsiTheme="minorHAnsi" w:cstheme="majorBidi"/>
      <w:color w:val="595959" w:themeColor="text1" w:themeTint="A6"/>
      <w:spacing w:val="15"/>
      <w:sz w:val="28"/>
      <w:szCs w:val="28"/>
    </w:rPr>
  </w:style>
  <w:style w:type="paragraph" w:styleId="Quote">
    <w:name w:val="Quote"/>
    <w:basedOn w:val="Normal"/>
    <w:next w:val="Normal"/>
    <w:link w:val="QuoteChar"/>
    <w:uiPriority w:val="29"/>
    <w:qFormat/>
    <w:rsid w:val="00AC28F6"/>
    <w:pPr>
      <w:spacing w:before="160" w:after="160"/>
      <w:jc w:val="center"/>
    </w:pPr>
    <w:rPr>
      <w:i/>
      <w:iCs/>
      <w:color w:val="404040" w:themeColor="text1" w:themeTint="BF"/>
    </w:rPr>
  </w:style>
  <w:style w:type="character" w:customStyle="1" w:styleId="QuoteChar">
    <w:name w:val="Quote Char"/>
    <w:basedOn w:val="DefaultParagraphFont"/>
    <w:link w:val="Quote"/>
    <w:uiPriority w:val="29"/>
    <w:rsid w:val="00AC28F6"/>
    <w:rPr>
      <w:i/>
      <w:iCs/>
      <w:color w:val="404040" w:themeColor="text1" w:themeTint="BF"/>
    </w:rPr>
  </w:style>
  <w:style w:type="paragraph" w:styleId="ListParagraph">
    <w:name w:val="List Paragraph"/>
    <w:basedOn w:val="Normal"/>
    <w:uiPriority w:val="34"/>
    <w:qFormat/>
    <w:rsid w:val="00AC28F6"/>
    <w:pPr>
      <w:ind w:left="720"/>
      <w:contextualSpacing/>
    </w:pPr>
  </w:style>
  <w:style w:type="character" w:styleId="IntenseEmphasis">
    <w:name w:val="Intense Emphasis"/>
    <w:basedOn w:val="DefaultParagraphFont"/>
    <w:uiPriority w:val="21"/>
    <w:qFormat/>
    <w:rsid w:val="00AC28F6"/>
    <w:rPr>
      <w:i/>
      <w:iCs/>
      <w:color w:val="2F5496" w:themeColor="accent1" w:themeShade="BF"/>
    </w:rPr>
  </w:style>
  <w:style w:type="paragraph" w:styleId="IntenseQuote">
    <w:name w:val="Intense Quote"/>
    <w:basedOn w:val="Normal"/>
    <w:next w:val="Normal"/>
    <w:link w:val="IntenseQuoteChar"/>
    <w:uiPriority w:val="30"/>
    <w:qFormat/>
    <w:rsid w:val="00AC28F6"/>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AC28F6"/>
    <w:rPr>
      <w:i/>
      <w:iCs/>
      <w:color w:val="2F5496" w:themeColor="accent1" w:themeShade="BF"/>
    </w:rPr>
  </w:style>
  <w:style w:type="character" w:styleId="IntenseReference">
    <w:name w:val="Intense Reference"/>
    <w:basedOn w:val="DefaultParagraphFont"/>
    <w:uiPriority w:val="32"/>
    <w:qFormat/>
    <w:rsid w:val="00AC28F6"/>
    <w:rPr>
      <w:b/>
      <w:bCs w:val="0"/>
      <w:smallCaps/>
      <w:color w:val="2F5496" w:themeColor="accent1" w:themeShade="BF"/>
      <w:spacing w:val="5"/>
    </w:rPr>
  </w:style>
  <w:style w:type="character" w:styleId="Strong">
    <w:name w:val="Strong"/>
    <w:basedOn w:val="DefaultParagraphFont"/>
    <w:uiPriority w:val="22"/>
    <w:qFormat/>
    <w:rsid w:val="00AC28F6"/>
    <w:rPr>
      <w:b/>
      <w:bCs w:val="0"/>
      <w:spacing w:val="0"/>
    </w:rPr>
  </w:style>
  <w:style w:type="character" w:styleId="Hyperlink">
    <w:name w:val="Hyperlink"/>
    <w:basedOn w:val="DefaultParagraphFont"/>
    <w:uiPriority w:val="99"/>
    <w:unhideWhenUsed/>
    <w:rsid w:val="00AC28F6"/>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legislation.gov.uk/ssi/2018/219/contents" TargetMode="External"/><Relationship Id="rId13" Type="http://schemas.openxmlformats.org/officeDocument/2006/relationships/hyperlink" Target="http://www.gov.uk/government/publications/waste-quality-protocols-review/waste-quality-protocols-review" TargetMode="External"/><Relationship Id="rId3" Type="http://schemas.openxmlformats.org/officeDocument/2006/relationships/settings" Target="settings.xml"/><Relationship Id="rId7" Type="http://schemas.openxmlformats.org/officeDocument/2006/relationships/hyperlink" Target="https://www.legislation.gov.uk/ssi/2018/219/contents" TargetMode="External"/><Relationship Id="rId12" Type="http://schemas.openxmlformats.org/officeDocument/2006/relationships/hyperlink" Target="http://www.gov.uk/guidance/anaerobic-digestate-resource-framework"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beta.sepa.scot/regulation/authorisations-and-compliance/easr-authorisations/moving-to-the-new-regulations/" TargetMode="External"/><Relationship Id="rId11" Type="http://schemas.openxmlformats.org/officeDocument/2006/relationships/hyperlink" Target="http://www.gov.uk/guidance/compost-from-waste-resource-framework" TargetMode="External"/><Relationship Id="rId5" Type="http://schemas.openxmlformats.org/officeDocument/2006/relationships/hyperlink" Target="http://www.sepa.org.uk/regulations/waste/soil-improvement-using-waste" TargetMode="External"/><Relationship Id="rId15" Type="http://schemas.openxmlformats.org/officeDocument/2006/relationships/theme" Target="theme/theme1.xml"/><Relationship Id="rId10" Type="http://schemas.openxmlformats.org/officeDocument/2006/relationships/hyperlink" Target="https://beta.sepa.scot/regulation/authorisations-and-compliance/easr-authorisations/about-easr-authorisations/who-can-hold-an-authorisation/" TargetMode="External"/><Relationship Id="rId4" Type="http://schemas.openxmlformats.org/officeDocument/2006/relationships/webSettings" Target="webSettings.xml"/><Relationship Id="rId9" Type="http://schemas.openxmlformats.org/officeDocument/2006/relationships/hyperlink" Target="http://www.fas.scot/podcast/rural-roundup-new-regulations-for-applying-waste-to-land/" TargetMode="Externa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12</TotalTime>
  <Pages>2</Pages>
  <Words>766</Words>
  <Characters>4370</Characters>
  <Application>Microsoft Office Word</Application>
  <DocSecurity>0</DocSecurity>
  <Lines>36</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5126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Ian Richards</dc:creator>
  <cp:keywords/>
  <dc:description/>
  <cp:lastModifiedBy>Ian Richards</cp:lastModifiedBy>
  <cp:revision>1</cp:revision>
  <dcterms:created xsi:type="dcterms:W3CDTF">2025-10-22T08:00:00Z</dcterms:created>
  <dcterms:modified xsi:type="dcterms:W3CDTF">2025-10-22T08:13:00Z</dcterms:modified>
</cp:coreProperties>
</file>